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412"/>
        <w:gridCol w:w="5063"/>
      </w:tblGrid>
      <w:tr w:rsidR="00027177">
        <w:trPr>
          <w:trHeight w:val="275"/>
        </w:trPr>
        <w:tc>
          <w:tcPr>
            <w:tcW w:w="1102" w:type="dxa"/>
          </w:tcPr>
          <w:p w:rsidR="00027177" w:rsidRDefault="00EF0D1F">
            <w:pPr>
              <w:pStyle w:val="TableParagraph"/>
              <w:spacing w:line="256" w:lineRule="exact"/>
              <w:ind w:left="107"/>
              <w:rPr>
                <w:b/>
                <w:sz w:val="24"/>
              </w:rPr>
            </w:pPr>
            <w:r>
              <w:rPr>
                <w:b/>
                <w:sz w:val="24"/>
              </w:rPr>
              <w:t>№</w:t>
            </w:r>
          </w:p>
        </w:tc>
        <w:tc>
          <w:tcPr>
            <w:tcW w:w="3412" w:type="dxa"/>
          </w:tcPr>
          <w:p w:rsidR="00027177" w:rsidRDefault="00EF0D1F">
            <w:pPr>
              <w:pStyle w:val="TableParagraph"/>
              <w:spacing w:line="256" w:lineRule="exact"/>
              <w:ind w:left="107"/>
              <w:rPr>
                <w:b/>
                <w:sz w:val="24"/>
              </w:rPr>
            </w:pPr>
            <w:r>
              <w:rPr>
                <w:b/>
                <w:sz w:val="24"/>
              </w:rPr>
              <w:t>Тема</w:t>
            </w:r>
          </w:p>
        </w:tc>
        <w:tc>
          <w:tcPr>
            <w:tcW w:w="5063" w:type="dxa"/>
          </w:tcPr>
          <w:p w:rsidR="00027177" w:rsidRDefault="00EF0D1F">
            <w:pPr>
              <w:pStyle w:val="TableParagraph"/>
              <w:spacing w:line="256" w:lineRule="exact"/>
              <w:rPr>
                <w:b/>
                <w:sz w:val="24"/>
              </w:rPr>
            </w:pPr>
            <w:r>
              <w:rPr>
                <w:b/>
                <w:sz w:val="24"/>
              </w:rPr>
              <w:t>Задание</w:t>
            </w:r>
          </w:p>
        </w:tc>
      </w:tr>
      <w:tr w:rsidR="00027177" w:rsidRPr="001B2B16">
        <w:trPr>
          <w:trHeight w:val="1380"/>
        </w:trPr>
        <w:tc>
          <w:tcPr>
            <w:tcW w:w="1102" w:type="dxa"/>
          </w:tcPr>
          <w:p w:rsidR="00027177" w:rsidRDefault="001B2B16">
            <w:pPr>
              <w:pStyle w:val="TableParagraph"/>
              <w:spacing w:line="268" w:lineRule="exact"/>
              <w:ind w:left="107"/>
              <w:rPr>
                <w:sz w:val="24"/>
              </w:rPr>
            </w:pPr>
            <w:r>
              <w:rPr>
                <w:sz w:val="24"/>
                <w:lang w:val="en-US"/>
              </w:rPr>
              <w:t xml:space="preserve">IWST </w:t>
            </w:r>
            <w:r w:rsidR="00EF0D1F">
              <w:rPr>
                <w:sz w:val="24"/>
              </w:rPr>
              <w:t>1</w:t>
            </w:r>
          </w:p>
        </w:tc>
        <w:tc>
          <w:tcPr>
            <w:tcW w:w="3412" w:type="dxa"/>
          </w:tcPr>
          <w:p w:rsidR="001B2B16" w:rsidRPr="001B2B16" w:rsidRDefault="001B2B16" w:rsidP="001B2B16">
            <w:pPr>
              <w:pStyle w:val="TableParagraph"/>
              <w:ind w:left="107" w:right="191"/>
              <w:rPr>
                <w:sz w:val="24"/>
                <w:lang w:val="en-US"/>
              </w:rPr>
            </w:pPr>
            <w:r w:rsidRPr="001B2B16">
              <w:rPr>
                <w:sz w:val="24"/>
                <w:lang w:val="en-US"/>
              </w:rPr>
              <w:t>Conceptual apparatus (Article 1 of the EC RK)</w:t>
            </w:r>
          </w:p>
          <w:p w:rsidR="001B2B16" w:rsidRPr="001B2B16" w:rsidRDefault="001B2B16" w:rsidP="001B2B16">
            <w:pPr>
              <w:pStyle w:val="TableParagraph"/>
              <w:ind w:left="107" w:right="191"/>
              <w:rPr>
                <w:sz w:val="24"/>
              </w:rPr>
            </w:pPr>
            <w:r w:rsidRPr="001B2B16">
              <w:rPr>
                <w:sz w:val="24"/>
              </w:rPr>
              <w:t>Form of delivery-orally</w:t>
            </w:r>
          </w:p>
          <w:p w:rsidR="001B2B16" w:rsidRPr="001B2B16" w:rsidRDefault="001B2B16" w:rsidP="001B2B16">
            <w:pPr>
              <w:pStyle w:val="TableParagraph"/>
              <w:ind w:left="107" w:right="191"/>
              <w:rPr>
                <w:sz w:val="24"/>
              </w:rPr>
            </w:pPr>
          </w:p>
          <w:p w:rsidR="00027177" w:rsidRPr="001B2B16" w:rsidRDefault="001B2B16" w:rsidP="001B2B16">
            <w:pPr>
              <w:pStyle w:val="TableParagraph"/>
              <w:spacing w:line="259" w:lineRule="exact"/>
              <w:ind w:left="107"/>
              <w:rPr>
                <w:b/>
                <w:sz w:val="24"/>
                <w:lang w:val="en-US"/>
              </w:rPr>
            </w:pPr>
            <w:r w:rsidRPr="001B2B16">
              <w:rPr>
                <w:sz w:val="24"/>
                <w:lang w:val="en-US"/>
              </w:rPr>
              <w:t>The deadline for delivery is 3-4 weeks</w:t>
            </w:r>
          </w:p>
        </w:tc>
        <w:tc>
          <w:tcPr>
            <w:tcW w:w="5063" w:type="dxa"/>
          </w:tcPr>
          <w:p w:rsidR="00027177" w:rsidRPr="001B2B16" w:rsidRDefault="001B2B16">
            <w:pPr>
              <w:pStyle w:val="TableParagraph"/>
              <w:spacing w:line="268" w:lineRule="exact"/>
              <w:rPr>
                <w:sz w:val="24"/>
                <w:lang w:val="en-US"/>
              </w:rPr>
            </w:pPr>
            <w:r w:rsidRPr="001B2B16">
              <w:rPr>
                <w:sz w:val="24"/>
                <w:lang w:val="en-US"/>
              </w:rPr>
              <w:t>Article 1 of the EC RK. Know the concept of basic terms</w:t>
            </w:r>
          </w:p>
        </w:tc>
      </w:tr>
      <w:tr w:rsidR="00027177">
        <w:trPr>
          <w:trHeight w:val="4416"/>
        </w:trPr>
        <w:tc>
          <w:tcPr>
            <w:tcW w:w="1102" w:type="dxa"/>
          </w:tcPr>
          <w:p w:rsidR="00027177" w:rsidRDefault="001B2B16" w:rsidP="001B2B16">
            <w:pPr>
              <w:pStyle w:val="TableParagraph"/>
              <w:spacing w:line="270" w:lineRule="exact"/>
              <w:ind w:left="107"/>
              <w:rPr>
                <w:sz w:val="24"/>
              </w:rPr>
            </w:pPr>
            <w:r>
              <w:rPr>
                <w:sz w:val="24"/>
                <w:lang w:val="en-US"/>
              </w:rPr>
              <w:t>IWST</w:t>
            </w:r>
            <w:r w:rsidR="00EF0D1F">
              <w:rPr>
                <w:sz w:val="24"/>
              </w:rPr>
              <w:t xml:space="preserve"> 2</w:t>
            </w:r>
          </w:p>
        </w:tc>
        <w:tc>
          <w:tcPr>
            <w:tcW w:w="3412" w:type="dxa"/>
          </w:tcPr>
          <w:p w:rsidR="001B2B16" w:rsidRPr="001B2B16" w:rsidRDefault="001B2B16" w:rsidP="001B2B16">
            <w:pPr>
              <w:pStyle w:val="TableParagraph"/>
              <w:ind w:left="107" w:right="209"/>
              <w:rPr>
                <w:sz w:val="24"/>
                <w:lang w:val="en-US"/>
              </w:rPr>
            </w:pPr>
            <w:r w:rsidRPr="001B2B16">
              <w:rPr>
                <w:sz w:val="24"/>
                <w:lang w:val="en-US"/>
              </w:rPr>
              <w:t>Environmental emergencies and ecologically</w:t>
            </w:r>
          </w:p>
          <w:p w:rsidR="001B2B16" w:rsidRPr="001B2B16" w:rsidRDefault="001B2B16" w:rsidP="001B2B16">
            <w:pPr>
              <w:pStyle w:val="TableParagraph"/>
              <w:ind w:left="107" w:right="209"/>
              <w:rPr>
                <w:sz w:val="24"/>
                <w:lang w:val="en-US"/>
              </w:rPr>
            </w:pPr>
            <w:r w:rsidRPr="001B2B16">
              <w:rPr>
                <w:sz w:val="24"/>
                <w:lang w:val="en-US"/>
              </w:rPr>
              <w:t>unfavorable territories in the Republic of Kazakhstan</w:t>
            </w:r>
          </w:p>
          <w:p w:rsidR="001B2B16" w:rsidRPr="001B2B16" w:rsidRDefault="001B2B16" w:rsidP="001B2B16">
            <w:pPr>
              <w:pStyle w:val="TableParagraph"/>
              <w:ind w:left="107" w:right="209"/>
              <w:rPr>
                <w:sz w:val="24"/>
                <w:lang w:val="en-US"/>
              </w:rPr>
            </w:pPr>
          </w:p>
          <w:p w:rsidR="001B2B16" w:rsidRPr="001B2B16" w:rsidRDefault="001B2B16" w:rsidP="001B2B16">
            <w:pPr>
              <w:pStyle w:val="TableParagraph"/>
              <w:ind w:left="107" w:right="209"/>
              <w:rPr>
                <w:sz w:val="24"/>
                <w:lang w:val="en-US"/>
              </w:rPr>
            </w:pPr>
            <w:r w:rsidRPr="001B2B16">
              <w:rPr>
                <w:sz w:val="24"/>
                <w:lang w:val="en-US"/>
              </w:rPr>
              <w:t>The form of delivery-an abstract</w:t>
            </w:r>
          </w:p>
          <w:p w:rsidR="001B2B16" w:rsidRPr="001B2B16" w:rsidRDefault="001B2B16" w:rsidP="001B2B16">
            <w:pPr>
              <w:pStyle w:val="TableParagraph"/>
              <w:ind w:left="107" w:right="209"/>
              <w:rPr>
                <w:sz w:val="24"/>
                <w:lang w:val="en-US"/>
              </w:rPr>
            </w:pPr>
          </w:p>
          <w:p w:rsidR="00027177" w:rsidRPr="001B2B16" w:rsidRDefault="001B2B16" w:rsidP="001B2B16">
            <w:pPr>
              <w:pStyle w:val="TableParagraph"/>
              <w:ind w:left="107"/>
              <w:rPr>
                <w:b/>
                <w:sz w:val="24"/>
                <w:lang w:val="en-US"/>
              </w:rPr>
            </w:pPr>
            <w:r w:rsidRPr="001B2B16">
              <w:rPr>
                <w:sz w:val="24"/>
                <w:lang w:val="en-US"/>
              </w:rPr>
              <w:t>The deadline for delivery is 8-9 weeks</w:t>
            </w:r>
          </w:p>
        </w:tc>
        <w:tc>
          <w:tcPr>
            <w:tcW w:w="5063" w:type="dxa"/>
          </w:tcPr>
          <w:p w:rsidR="001B2B16" w:rsidRPr="001B2B16" w:rsidRDefault="001B2B16" w:rsidP="001B2B16">
            <w:pPr>
              <w:pStyle w:val="TableParagraph"/>
              <w:tabs>
                <w:tab w:val="left" w:pos="1896"/>
                <w:tab w:val="left" w:pos="2145"/>
                <w:tab w:val="left" w:pos="4069"/>
                <w:tab w:val="left" w:pos="4822"/>
              </w:tabs>
              <w:ind w:right="97"/>
              <w:jc w:val="both"/>
              <w:rPr>
                <w:sz w:val="24"/>
              </w:rPr>
            </w:pPr>
            <w:r w:rsidRPr="001B2B16">
              <w:rPr>
                <w:sz w:val="24"/>
                <w:lang w:val="en-US"/>
              </w:rPr>
              <w:t xml:space="preserve">National environmental problems of the Republic of Kazakhstan. The impact of the environmental situation on human health. Define the concept and types, the legal regime of zones of an environmental emergency. Problems of the Aral Sea, desertification of the Aral Sea zone, etc.. To consider the problems of the Semipalatinsk region. The impact of nuclear tests on the environment. Problems of the impact on marine and coastal ecosystems of intensive development of the resources of the Caspian Sea shelf.Radioactive contamination. The impact of the polygons of the military space and test complexes. </w:t>
            </w:r>
            <w:r w:rsidRPr="001B2B16">
              <w:rPr>
                <w:sz w:val="24"/>
              </w:rPr>
              <w:t>Baikonur. Ways</w:t>
            </w:r>
          </w:p>
          <w:p w:rsidR="00027177" w:rsidRDefault="001B2B16" w:rsidP="001B2B16">
            <w:pPr>
              <w:pStyle w:val="TableParagraph"/>
              <w:spacing w:line="262" w:lineRule="exact"/>
              <w:jc w:val="both"/>
              <w:rPr>
                <w:sz w:val="24"/>
              </w:rPr>
            </w:pPr>
            <w:r w:rsidRPr="001B2B16">
              <w:rPr>
                <w:sz w:val="24"/>
              </w:rPr>
              <w:t>solutions to environmental problems</w:t>
            </w:r>
          </w:p>
        </w:tc>
      </w:tr>
      <w:tr w:rsidR="00027177" w:rsidRPr="001B2B16">
        <w:trPr>
          <w:trHeight w:val="8280"/>
        </w:trPr>
        <w:tc>
          <w:tcPr>
            <w:tcW w:w="1102" w:type="dxa"/>
          </w:tcPr>
          <w:p w:rsidR="00027177" w:rsidRDefault="001B2B16">
            <w:pPr>
              <w:pStyle w:val="TableParagraph"/>
              <w:spacing w:line="270" w:lineRule="exact"/>
              <w:ind w:left="107"/>
              <w:rPr>
                <w:sz w:val="24"/>
              </w:rPr>
            </w:pPr>
            <w:r>
              <w:rPr>
                <w:sz w:val="24"/>
                <w:lang w:val="en-US"/>
              </w:rPr>
              <w:t>IWST</w:t>
            </w:r>
            <w:r w:rsidR="00EF0D1F">
              <w:rPr>
                <w:sz w:val="24"/>
              </w:rPr>
              <w:t xml:space="preserve"> 3</w:t>
            </w:r>
          </w:p>
        </w:tc>
        <w:tc>
          <w:tcPr>
            <w:tcW w:w="3412" w:type="dxa"/>
          </w:tcPr>
          <w:p w:rsidR="001B2B16" w:rsidRPr="001B2B16" w:rsidRDefault="001B2B16" w:rsidP="001B2B16">
            <w:pPr>
              <w:pStyle w:val="TableParagraph"/>
              <w:spacing w:line="270" w:lineRule="exact"/>
              <w:ind w:left="107"/>
              <w:rPr>
                <w:sz w:val="24"/>
                <w:lang w:val="en-US"/>
              </w:rPr>
            </w:pPr>
            <w:r w:rsidRPr="001B2B16">
              <w:rPr>
                <w:sz w:val="24"/>
                <w:lang w:val="en-US"/>
              </w:rPr>
              <w:t>Legal analysis of</w:t>
            </w:r>
          </w:p>
          <w:p w:rsidR="001B2B16" w:rsidRPr="001B2B16" w:rsidRDefault="001B2B16" w:rsidP="001B2B16">
            <w:pPr>
              <w:pStyle w:val="TableParagraph"/>
              <w:spacing w:line="270" w:lineRule="exact"/>
              <w:ind w:left="107"/>
              <w:rPr>
                <w:sz w:val="24"/>
                <w:lang w:val="en-US"/>
              </w:rPr>
            </w:pPr>
            <w:r w:rsidRPr="001B2B16">
              <w:rPr>
                <w:sz w:val="24"/>
                <w:lang w:val="en-US"/>
              </w:rPr>
              <w:t>international environmental and legal conventions</w:t>
            </w:r>
          </w:p>
          <w:p w:rsidR="001B2B16" w:rsidRPr="001B2B16" w:rsidRDefault="001B2B16" w:rsidP="001B2B16">
            <w:pPr>
              <w:pStyle w:val="TableParagraph"/>
              <w:spacing w:line="270" w:lineRule="exact"/>
              <w:ind w:left="107"/>
              <w:rPr>
                <w:sz w:val="24"/>
                <w:lang w:val="en-US"/>
              </w:rPr>
            </w:pPr>
          </w:p>
          <w:p w:rsidR="001B2B16" w:rsidRPr="001B2B16" w:rsidRDefault="001B2B16" w:rsidP="001B2B16">
            <w:pPr>
              <w:pStyle w:val="TableParagraph"/>
              <w:spacing w:line="270" w:lineRule="exact"/>
              <w:ind w:left="107"/>
              <w:rPr>
                <w:sz w:val="24"/>
              </w:rPr>
            </w:pPr>
            <w:r w:rsidRPr="001B2B16">
              <w:rPr>
                <w:sz w:val="24"/>
              </w:rPr>
              <w:t>Delivery form-presentation</w:t>
            </w:r>
          </w:p>
          <w:p w:rsidR="001B2B16" w:rsidRPr="001B2B16" w:rsidRDefault="001B2B16" w:rsidP="001B2B16">
            <w:pPr>
              <w:pStyle w:val="TableParagraph"/>
              <w:spacing w:line="270" w:lineRule="exact"/>
              <w:ind w:left="107"/>
              <w:rPr>
                <w:sz w:val="24"/>
              </w:rPr>
            </w:pPr>
          </w:p>
          <w:p w:rsidR="00027177" w:rsidRPr="001B2B16" w:rsidRDefault="001B2B16" w:rsidP="001B2B16">
            <w:pPr>
              <w:pStyle w:val="TableParagraph"/>
              <w:ind w:left="107"/>
              <w:rPr>
                <w:b/>
                <w:sz w:val="24"/>
                <w:lang w:val="en-US"/>
              </w:rPr>
            </w:pPr>
            <w:r w:rsidRPr="001B2B16">
              <w:rPr>
                <w:sz w:val="24"/>
                <w:lang w:val="en-US"/>
              </w:rPr>
              <w:t>The deadline for delivery is 13-14 weeks</w:t>
            </w:r>
          </w:p>
        </w:tc>
        <w:tc>
          <w:tcPr>
            <w:tcW w:w="5063" w:type="dxa"/>
          </w:tcPr>
          <w:p w:rsidR="001B2B16" w:rsidRPr="001B2B16" w:rsidRDefault="001B2B16" w:rsidP="001B2B16">
            <w:pPr>
              <w:pStyle w:val="TableParagraph"/>
              <w:rPr>
                <w:sz w:val="24"/>
                <w:lang w:val="en-US"/>
              </w:rPr>
            </w:pPr>
            <w:r w:rsidRPr="001B2B16">
              <w:rPr>
                <w:sz w:val="24"/>
                <w:lang w:val="en-US"/>
              </w:rPr>
              <w:t>Legal analysis of international environmental and legal conventions ratified by the Republic of Kazakhstan.</w:t>
            </w:r>
          </w:p>
          <w:p w:rsidR="001B2B16" w:rsidRPr="001B2B16" w:rsidRDefault="001B2B16" w:rsidP="001B2B16">
            <w:pPr>
              <w:pStyle w:val="TableParagraph"/>
              <w:rPr>
                <w:sz w:val="24"/>
                <w:lang w:val="en-US"/>
              </w:rPr>
            </w:pPr>
            <w:r w:rsidRPr="001B2B16">
              <w:rPr>
                <w:sz w:val="24"/>
                <w:lang w:val="en-US"/>
              </w:rPr>
              <w:t>Consider the following Conventions: the</w:t>
            </w:r>
          </w:p>
          <w:p w:rsidR="001B2B16" w:rsidRPr="001B2B16" w:rsidRDefault="001B2B16" w:rsidP="001B2B16">
            <w:pPr>
              <w:pStyle w:val="TableParagraph"/>
              <w:rPr>
                <w:sz w:val="24"/>
                <w:lang w:val="en-US"/>
              </w:rPr>
            </w:pPr>
            <w:r w:rsidRPr="001B2B16">
              <w:rPr>
                <w:sz w:val="24"/>
                <w:lang w:val="en-US"/>
              </w:rPr>
              <w:t>Framework Convention on Climate Change and the Kyoto Protocol</w:t>
            </w:r>
          </w:p>
          <w:p w:rsidR="001B2B16" w:rsidRPr="001B2B16" w:rsidRDefault="001B2B16" w:rsidP="001B2B16">
            <w:pPr>
              <w:pStyle w:val="TableParagraph"/>
              <w:rPr>
                <w:sz w:val="24"/>
                <w:lang w:val="en-US"/>
              </w:rPr>
            </w:pPr>
            <w:r w:rsidRPr="001B2B16">
              <w:rPr>
                <w:sz w:val="24"/>
                <w:lang w:val="en-US"/>
              </w:rPr>
              <w:t>Convention to Combat Desertification Convention on the Conservation of Biodiversity</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UNECE Convention on Long-range Transboundary Air Pollution.</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Convention on the Transboundary Effects of Industrial Accidents</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The Convention on EIA in a Transboundary Context</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Convention on Access to Information, Participation in Decision-making and Access to Justice in Environmental Matters.</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Vienna Convention for the Protection of the Ozone Layer and the Montreal Protocol on Substances that Deplete the Ozone Layer</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p>
          <w:p w:rsidR="00027177" w:rsidRPr="001B2B16" w:rsidRDefault="001B2B16" w:rsidP="001B2B16">
            <w:pPr>
              <w:pStyle w:val="TableParagraph"/>
              <w:spacing w:before="34" w:line="270" w:lineRule="atLeast"/>
              <w:ind w:right="104"/>
              <w:jc w:val="both"/>
              <w:rPr>
                <w:sz w:val="24"/>
                <w:lang w:val="en-US"/>
              </w:rPr>
            </w:pPr>
            <w:r w:rsidRPr="001B2B16">
              <w:rPr>
                <w:sz w:val="24"/>
                <w:lang w:val="en-US"/>
              </w:rPr>
              <w:lastRenderedPageBreak/>
              <w:t>Stockholm Convention on Persistent Organic Pollutants</w:t>
            </w:r>
          </w:p>
        </w:tc>
      </w:tr>
      <w:tr w:rsidR="00027177" w:rsidRPr="001B2B16">
        <w:trPr>
          <w:trHeight w:val="4140"/>
        </w:trPr>
        <w:tc>
          <w:tcPr>
            <w:tcW w:w="1102" w:type="dxa"/>
          </w:tcPr>
          <w:p w:rsidR="00027177" w:rsidRPr="001B2B16" w:rsidRDefault="001B2B16">
            <w:pPr>
              <w:pStyle w:val="TableParagraph"/>
              <w:ind w:left="0"/>
              <w:rPr>
                <w:sz w:val="24"/>
                <w:lang w:val="en-US"/>
              </w:rPr>
            </w:pPr>
            <w:r>
              <w:rPr>
                <w:sz w:val="24"/>
                <w:lang w:val="en-US"/>
              </w:rPr>
              <w:lastRenderedPageBreak/>
              <w:t>IWST</w:t>
            </w:r>
            <w:r>
              <w:rPr>
                <w:sz w:val="24"/>
              </w:rPr>
              <w:t xml:space="preserve"> </w:t>
            </w:r>
            <w:r w:rsidR="00D808DD">
              <w:rPr>
                <w:noProof/>
                <w:lang w:eastAsia="ru-RU"/>
              </w:rPr>
              <mc:AlternateContent>
                <mc:Choice Requires="wps">
                  <w:drawing>
                    <wp:anchor distT="0" distB="0" distL="114300" distR="114300" simplePos="0" relativeHeight="487505920" behindDoc="1" locked="0" layoutInCell="1" allowOverlap="1">
                      <wp:simplePos x="0" y="0"/>
                      <wp:positionH relativeFrom="page">
                        <wp:posOffset>3942715</wp:posOffset>
                      </wp:positionH>
                      <wp:positionV relativeFrom="page">
                        <wp:posOffset>5777230</wp:posOffset>
                      </wp:positionV>
                      <wp:extent cx="3076575" cy="2032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6846E" id="Rectangle 11" o:spid="_x0000_s1026" style="position:absolute;margin-left:310.45pt;margin-top:454.9pt;width:242.25pt;height:1.6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" fillcolor="black" stroked="f">
                      <w10:wrap anchorx="page" anchory="page"/>
                    </v:rect>
                  </w:pict>
                </mc:Fallback>
              </mc:AlternateContent>
            </w:r>
            <w:r w:rsidR="00D808DD">
              <w:rPr>
                <w:noProof/>
                <w:lang w:eastAsia="ru-RU"/>
              </w:rPr>
              <mc:AlternateContent>
                <mc:Choice Requires="wps">
                  <w:drawing>
                    <wp:anchor distT="0" distB="0" distL="114300" distR="114300" simplePos="0" relativeHeight="487506432" behindDoc="1" locked="0" layoutInCell="1" allowOverlap="1">
                      <wp:simplePos x="0" y="0"/>
                      <wp:positionH relativeFrom="page">
                        <wp:posOffset>3942715</wp:posOffset>
                      </wp:positionH>
                      <wp:positionV relativeFrom="page">
                        <wp:posOffset>6127750</wp:posOffset>
                      </wp:positionV>
                      <wp:extent cx="3076575" cy="2032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32710" id="Rectangle 10" o:spid="_x0000_s1026" style="position:absolute;margin-left:310.45pt;margin-top:482.5pt;width:242.25pt;height:1.6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" fillcolor="black" stroked="f">
                      <w10:wrap anchorx="page" anchory="page"/>
                    </v:rect>
                  </w:pict>
                </mc:Fallback>
              </mc:AlternateContent>
            </w:r>
            <w:r>
              <w:rPr>
                <w:sz w:val="24"/>
                <w:lang w:val="en-US"/>
              </w:rPr>
              <w:t>4</w:t>
            </w:r>
            <w:bookmarkStart w:id="0" w:name="_GoBack"/>
            <w:bookmarkEnd w:id="0"/>
          </w:p>
        </w:tc>
        <w:tc>
          <w:tcPr>
            <w:tcW w:w="3412" w:type="dxa"/>
          </w:tcPr>
          <w:p w:rsidR="001B2B16" w:rsidRPr="001B2B16" w:rsidRDefault="001B2B16" w:rsidP="001B2B16">
            <w:pPr>
              <w:pStyle w:val="TableParagraph"/>
              <w:rPr>
                <w:sz w:val="24"/>
                <w:lang w:val="en-US"/>
              </w:rPr>
            </w:pPr>
            <w:r w:rsidRPr="001B2B16">
              <w:rPr>
                <w:sz w:val="24"/>
                <w:lang w:val="en-US"/>
              </w:rPr>
              <w:t>Delivery form-presentation</w:t>
            </w:r>
          </w:p>
          <w:p w:rsidR="001B2B16" w:rsidRPr="001B2B16" w:rsidRDefault="001B2B16" w:rsidP="001B2B16">
            <w:pPr>
              <w:pStyle w:val="TableParagraph"/>
              <w:rPr>
                <w:sz w:val="24"/>
                <w:lang w:val="en-US"/>
              </w:rPr>
            </w:pPr>
          </w:p>
          <w:p w:rsidR="001B2B16" w:rsidRPr="001B2B16" w:rsidRDefault="001B2B16" w:rsidP="001B2B16">
            <w:pPr>
              <w:pStyle w:val="TableParagraph"/>
              <w:rPr>
                <w:sz w:val="24"/>
                <w:lang w:val="en-US"/>
              </w:rPr>
            </w:pPr>
            <w:r w:rsidRPr="001B2B16">
              <w:rPr>
                <w:sz w:val="24"/>
                <w:lang w:val="en-US"/>
              </w:rPr>
              <w:t>The deadline for delivery is 13-14 weeks</w:t>
            </w:r>
          </w:p>
          <w:p w:rsidR="00027177" w:rsidRPr="001B2B16" w:rsidRDefault="001B2B16" w:rsidP="001B2B16">
            <w:pPr>
              <w:pStyle w:val="TableParagraph"/>
              <w:ind w:left="0"/>
              <w:rPr>
                <w:sz w:val="24"/>
                <w:lang w:val="en-US"/>
              </w:rPr>
            </w:pPr>
            <w:r w:rsidRPr="001B2B16">
              <w:rPr>
                <w:sz w:val="24"/>
                <w:lang w:val="en-US"/>
              </w:rPr>
              <w:t>Basel Convention on the Control of Transboundary Movements of Hazardous Wastes and their Disposal</w:t>
            </w:r>
          </w:p>
        </w:tc>
        <w:tc>
          <w:tcPr>
            <w:tcW w:w="5063" w:type="dxa"/>
          </w:tcPr>
          <w:p w:rsidR="00027177" w:rsidRPr="001B2B16" w:rsidRDefault="00027177">
            <w:pPr>
              <w:pStyle w:val="TableParagraph"/>
              <w:spacing w:before="7"/>
              <w:ind w:left="0"/>
              <w:rPr>
                <w:sz w:val="16"/>
                <w:lang w:val="en-US"/>
              </w:rPr>
            </w:pPr>
          </w:p>
          <w:p w:rsidR="00027177" w:rsidRDefault="00D808DD">
            <w:pPr>
              <w:pStyle w:val="TableParagraph"/>
              <w:spacing w:line="31" w:lineRule="exact"/>
              <w:ind w:left="103"/>
              <w:rPr>
                <w:sz w:val="3"/>
              </w:rPr>
            </w:pPr>
            <w:r>
              <w:rPr>
                <w:noProof/>
                <w:sz w:val="3"/>
                <w:lang w:eastAsia="ru-RU"/>
              </w:rPr>
              <mc:AlternateContent>
                <mc:Choice Requires="wpg">
                  <w:drawing>
                    <wp:inline distT="0" distB="0" distL="0" distR="0">
                      <wp:extent cx="3076575" cy="19685"/>
                      <wp:effectExtent l="3810" t="0" r="0" b="254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19685"/>
                                <a:chOff x="0" y="0"/>
                                <a:chExt cx="4845" cy="31"/>
                              </a:xfrm>
                            </wpg:grpSpPr>
                            <wps:wsp>
                              <wps:cNvPr id="8" name="Rectangle 9"/>
                              <wps:cNvSpPr>
                                <a:spLocks noChangeArrowheads="1"/>
                              </wps:cNvSpPr>
                              <wps:spPr bwMode="auto">
                                <a:xfrm>
                                  <a:off x="0" y="0"/>
                                  <a:ext cx="484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3C5F79" id="Group 8" o:spid="_x0000_s1026" style="width:242.25pt;height:1.55pt;mso-position-horizontal-relative:char;mso-position-vertical-relative:line" coordsize="48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">
                      <v:rect id="Rectangle 9" o:spid="_x0000_s1027" style="position:absolute;width:484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027177" w:rsidRPr="001B2B16" w:rsidRDefault="001B2B16">
            <w:pPr>
              <w:pStyle w:val="TableParagraph"/>
              <w:spacing w:before="4"/>
              <w:ind w:left="0"/>
              <w:rPr>
                <w:sz w:val="17"/>
                <w:lang w:val="en-US"/>
              </w:rPr>
            </w:pPr>
            <w:r w:rsidRPr="001B2B16">
              <w:rPr>
                <w:sz w:val="24"/>
                <w:lang w:val="en-US"/>
              </w:rPr>
              <w:t>Basel Convention on the Control of Transboundary Movements of Hazardous Wastes and their Disposal</w:t>
            </w:r>
          </w:p>
          <w:p w:rsidR="00027177" w:rsidRDefault="00D808DD">
            <w:pPr>
              <w:pStyle w:val="TableParagraph"/>
              <w:spacing w:line="31" w:lineRule="exact"/>
              <w:ind w:left="103"/>
              <w:rPr>
                <w:sz w:val="3"/>
              </w:rPr>
            </w:pPr>
            <w:r>
              <w:rPr>
                <w:noProof/>
                <w:sz w:val="3"/>
                <w:lang w:eastAsia="ru-RU"/>
              </w:rPr>
              <mc:AlternateContent>
                <mc:Choice Requires="wpg">
                  <w:drawing>
                    <wp:inline distT="0" distB="0" distL="0" distR="0">
                      <wp:extent cx="3076575" cy="19685"/>
                      <wp:effectExtent l="3810" t="0" r="0" b="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19685"/>
                                <a:chOff x="0" y="0"/>
                                <a:chExt cx="4845" cy="31"/>
                              </a:xfrm>
                            </wpg:grpSpPr>
                            <wps:wsp>
                              <wps:cNvPr id="6" name="Rectangle 7"/>
                              <wps:cNvSpPr>
                                <a:spLocks noChangeArrowheads="1"/>
                              </wps:cNvSpPr>
                              <wps:spPr bwMode="auto">
                                <a:xfrm>
                                  <a:off x="0" y="0"/>
                                  <a:ext cx="484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632110" id="Group 6" o:spid="_x0000_s1026" style="width:242.25pt;height:1.55pt;mso-position-horizontal-relative:char;mso-position-vertical-relative:line" coordsize="48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">
                      <v:rect id="Rectangle 7" o:spid="_x0000_s1027" style="position:absolute;width:484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rsidR="00027177" w:rsidRPr="001B2B16" w:rsidRDefault="001B2B16">
            <w:pPr>
              <w:pStyle w:val="TableParagraph"/>
              <w:spacing w:before="4"/>
              <w:ind w:left="0"/>
              <w:rPr>
                <w:sz w:val="17"/>
                <w:lang w:val="en-US"/>
              </w:rPr>
            </w:pPr>
            <w:r w:rsidRPr="001B2B16">
              <w:rPr>
                <w:sz w:val="24"/>
                <w:lang w:val="en-US"/>
              </w:rPr>
              <w:t>UNESCO Convention on the Protection of the World Cultural and Natural Heritage</w:t>
            </w:r>
          </w:p>
          <w:p w:rsidR="00027177" w:rsidRDefault="00D808DD">
            <w:pPr>
              <w:pStyle w:val="TableParagraph"/>
              <w:spacing w:line="31" w:lineRule="exact"/>
              <w:ind w:left="103"/>
              <w:rPr>
                <w:sz w:val="3"/>
              </w:rPr>
            </w:pPr>
            <w:r>
              <w:rPr>
                <w:noProof/>
                <w:sz w:val="3"/>
                <w:lang w:eastAsia="ru-RU"/>
              </w:rPr>
              <mc:AlternateContent>
                <mc:Choice Requires="wpg">
                  <w:drawing>
                    <wp:inline distT="0" distB="0" distL="0" distR="0">
                      <wp:extent cx="3076575" cy="19685"/>
                      <wp:effectExtent l="3810" t="0" r="0"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19685"/>
                                <a:chOff x="0" y="0"/>
                                <a:chExt cx="4845" cy="31"/>
                              </a:xfrm>
                            </wpg:grpSpPr>
                            <wps:wsp>
                              <wps:cNvPr id="4" name="Rectangle 5"/>
                              <wps:cNvSpPr>
                                <a:spLocks noChangeArrowheads="1"/>
                              </wps:cNvSpPr>
                              <wps:spPr bwMode="auto">
                                <a:xfrm>
                                  <a:off x="0" y="0"/>
                                  <a:ext cx="484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F9EAC2" id="Group 4" o:spid="_x0000_s1026" style="width:242.25pt;height:1.55pt;mso-position-horizontal-relative:char;mso-position-vertical-relative:line" coordsize="48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">
                      <v:rect id="Rectangle 5" o:spid="_x0000_s1027" style="position:absolute;width:484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027177" w:rsidRPr="001B2B16" w:rsidRDefault="001B2B16">
            <w:pPr>
              <w:pStyle w:val="TableParagraph"/>
              <w:spacing w:before="4"/>
              <w:ind w:left="0"/>
              <w:rPr>
                <w:sz w:val="17"/>
                <w:lang w:val="en-US"/>
              </w:rPr>
            </w:pPr>
            <w:r w:rsidRPr="001B2B16">
              <w:rPr>
                <w:sz w:val="24"/>
                <w:lang w:val="en-US"/>
              </w:rPr>
              <w:t>Convention on the Protection and Use of Transboundary Watercourses and International Lakes</w:t>
            </w:r>
          </w:p>
          <w:p w:rsidR="00027177" w:rsidRDefault="00D808DD">
            <w:pPr>
              <w:pStyle w:val="TableParagraph"/>
              <w:spacing w:line="31" w:lineRule="exact"/>
              <w:ind w:left="103"/>
              <w:rPr>
                <w:sz w:val="3"/>
              </w:rPr>
            </w:pPr>
            <w:r>
              <w:rPr>
                <w:noProof/>
                <w:sz w:val="3"/>
                <w:lang w:eastAsia="ru-RU"/>
              </w:rPr>
              <mc:AlternateContent>
                <mc:Choice Requires="wpg">
                  <w:drawing>
                    <wp:inline distT="0" distB="0" distL="0" distR="0">
                      <wp:extent cx="3076575" cy="19685"/>
                      <wp:effectExtent l="3810" t="254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19685"/>
                                <a:chOff x="0" y="0"/>
                                <a:chExt cx="4845" cy="31"/>
                              </a:xfrm>
                            </wpg:grpSpPr>
                            <wps:wsp>
                              <wps:cNvPr id="2" name="Rectangle 3"/>
                              <wps:cNvSpPr>
                                <a:spLocks noChangeArrowheads="1"/>
                              </wps:cNvSpPr>
                              <wps:spPr bwMode="auto">
                                <a:xfrm>
                                  <a:off x="0" y="0"/>
                                  <a:ext cx="4845"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ED513A" id="Group 2" o:spid="_x0000_s1026" style="width:242.25pt;height:1.55pt;mso-position-horizontal-relative:char;mso-position-vertical-relative:line" coordsize="48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">
                      <v:rect id="Rectangle 3" o:spid="_x0000_s1027" style="position:absolute;width:484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rsidR="00027177" w:rsidRDefault="001B2B16">
            <w:pPr>
              <w:pStyle w:val="TableParagraph"/>
              <w:spacing w:before="45"/>
              <w:ind w:right="103"/>
              <w:jc w:val="both"/>
              <w:rPr>
                <w:sz w:val="24"/>
              </w:rPr>
            </w:pPr>
            <w:hyperlink r:id="rId4">
              <w:r>
                <w:rPr>
                  <w:sz w:val="24"/>
                </w:rPr>
                <w:t>Рамочной</w:t>
              </w:r>
              <w:r>
                <w:rPr>
                  <w:spacing w:val="1"/>
                  <w:sz w:val="24"/>
                </w:rPr>
                <w:t xml:space="preserve"> </w:t>
              </w:r>
              <w:r>
                <w:rPr>
                  <w:sz w:val="24"/>
                </w:rPr>
                <w:t>Конвенция</w:t>
              </w:r>
              <w:r>
                <w:rPr>
                  <w:spacing w:val="1"/>
                  <w:sz w:val="24"/>
                </w:rPr>
                <w:t xml:space="preserve"> </w:t>
              </w:r>
              <w:r>
                <w:rPr>
                  <w:sz w:val="24"/>
                </w:rPr>
                <w:t>по</w:t>
              </w:r>
              <w:r>
                <w:rPr>
                  <w:spacing w:val="1"/>
                  <w:sz w:val="24"/>
                </w:rPr>
                <w:t xml:space="preserve"> </w:t>
              </w:r>
              <w:r>
                <w:rPr>
                  <w:sz w:val="24"/>
                </w:rPr>
                <w:t>защите</w:t>
              </w:r>
              <w:r>
                <w:rPr>
                  <w:spacing w:val="61"/>
                  <w:sz w:val="24"/>
                </w:rPr>
                <w:t xml:space="preserve"> </w:t>
              </w:r>
              <w:r>
                <w:rPr>
                  <w:sz w:val="24"/>
                </w:rPr>
                <w:t>морской</w:t>
              </w:r>
            </w:hyperlink>
            <w:r>
              <w:rPr>
                <w:spacing w:val="1"/>
                <w:sz w:val="24"/>
              </w:rPr>
              <w:t xml:space="preserve"> </w:t>
            </w:r>
            <w:hyperlink r:id="rId5">
              <w:r>
                <w:rPr>
                  <w:sz w:val="24"/>
                </w:rPr>
                <w:t>среды</w:t>
              </w:r>
              <w:r>
                <w:rPr>
                  <w:spacing w:val="-1"/>
                  <w:sz w:val="24"/>
                </w:rPr>
                <w:t xml:space="preserve"> </w:t>
              </w:r>
              <w:r>
                <w:rPr>
                  <w:sz w:val="24"/>
                </w:rPr>
                <w:t>Каспийского моря</w:t>
              </w:r>
            </w:hyperlink>
          </w:p>
        </w:tc>
      </w:tr>
    </w:tbl>
    <w:p w:rsidR="00EF0D1F" w:rsidRPr="001B2B16" w:rsidRDefault="00EF0D1F"/>
    <w:sectPr w:rsidR="00EF0D1F" w:rsidRPr="001B2B16">
      <w:pgSz w:w="11910" w:h="16840"/>
      <w:pgMar w:top="112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77"/>
    <w:rsid w:val="00027177"/>
    <w:rsid w:val="001B2B16"/>
    <w:rsid w:val="00D808DD"/>
    <w:rsid w:val="00EF0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BFF6"/>
  <w15:docId w15:val="{A7780DB9-12B1-4BEF-A771-1FF5F47A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pPr>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arhus.kz/1-7/1-14" TargetMode="External"/><Relationship Id="rId4" Type="http://schemas.openxmlformats.org/officeDocument/2006/relationships/hyperlink" Target="http://aarhus.kz/1-7/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 Roza</dc:creator>
  <cp:lastModifiedBy>User</cp:lastModifiedBy>
  <cp:revision>2</cp:revision>
  <dcterms:created xsi:type="dcterms:W3CDTF">2021-09-11T04:36:00Z</dcterms:created>
  <dcterms:modified xsi:type="dcterms:W3CDTF">2021-09-11T04:36:00Z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2013</vt:lpwstr>
  </property>
  <property fmtid="{D5CDD505-2E9C-101B-9397-08002B2CF9AE}" pid="4" name="LastSaved">
    <vt:filetime>2021-09-11T00:00:00Z</vt:filetime>
  </property>
</Properties>
</file>